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6D939" w14:textId="77777777" w:rsidR="004C79A4" w:rsidRPr="004C79A4" w:rsidRDefault="004C79A4" w:rsidP="004C79A4">
      <w:pPr>
        <w:rPr>
          <w:rFonts w:ascii="Times New Roman" w:hAnsi="Times New Roman" w:cs="Times New Roman"/>
        </w:rPr>
      </w:pPr>
      <w:r w:rsidRPr="004C79A4">
        <w:rPr>
          <w:rFonts w:ascii="Times New Roman" w:hAnsi="Times New Roman" w:cs="Times New Roman"/>
          <w:b/>
          <w:bCs/>
        </w:rPr>
        <w:t>ENHANCER PRO HIZLANDIRMA HİBE PROGRAMI</w:t>
      </w:r>
      <w:r w:rsidRPr="004C79A4">
        <w:rPr>
          <w:rFonts w:ascii="Times New Roman" w:hAnsi="Times New Roman" w:cs="Times New Roman"/>
        </w:rPr>
        <w:br/>
      </w:r>
      <w:r w:rsidRPr="004C79A4">
        <w:rPr>
          <w:rFonts w:ascii="Times New Roman" w:hAnsi="Times New Roman" w:cs="Times New Roman"/>
          <w:b/>
          <w:bCs/>
        </w:rPr>
        <w:t>İşletmeler İçin Bilgi Notu</w:t>
      </w:r>
    </w:p>
    <w:p w14:paraId="30F866E1"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ENHANCER PRO Hızlandırma Hibe Programı, mevcut mikro işletmelerin üretim ve hizmet kapasitesini artırmasını, yeni pazarlara ulaşmasını ve istihdam oluşturmasını desteklemektedir. Program, Avrupa Birliği finansmanıyla ICMPD tarafından Sanayi ve Teknoloji Bakanlığı iş birliğinde yürütülmektedir.</w:t>
      </w:r>
    </w:p>
    <w:p w14:paraId="448F934A" w14:textId="77777777" w:rsidR="004C79A4" w:rsidRPr="004C79A4" w:rsidRDefault="004C79A4" w:rsidP="004C79A4">
      <w:pPr>
        <w:rPr>
          <w:rFonts w:ascii="Times New Roman" w:hAnsi="Times New Roman" w:cs="Times New Roman"/>
        </w:rPr>
      </w:pPr>
      <w:r w:rsidRPr="004C79A4">
        <w:rPr>
          <w:rFonts w:ascii="Times New Roman" w:hAnsi="Times New Roman" w:cs="Times New Roman"/>
          <w:b/>
          <w:bCs/>
        </w:rPr>
        <w:t>Destek tutarı ve süresi</w:t>
      </w:r>
    </w:p>
    <w:p w14:paraId="531257A5"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 xml:space="preserve">İşletme başına </w:t>
      </w:r>
      <w:r w:rsidRPr="004C79A4">
        <w:rPr>
          <w:rFonts w:ascii="Times New Roman" w:hAnsi="Times New Roman" w:cs="Times New Roman"/>
          <w:b/>
          <w:bCs/>
        </w:rPr>
        <w:t>40.000–60.000 avro</w:t>
      </w:r>
      <w:r w:rsidRPr="004C79A4">
        <w:rPr>
          <w:rFonts w:ascii="Times New Roman" w:hAnsi="Times New Roman" w:cs="Times New Roman"/>
        </w:rPr>
        <w:t xml:space="preserve"> hibe sağlanacaktır. Hibe, projenin uygun giderlerinin </w:t>
      </w:r>
      <w:r w:rsidRPr="004C79A4">
        <w:rPr>
          <w:rFonts w:ascii="Times New Roman" w:hAnsi="Times New Roman" w:cs="Times New Roman"/>
          <w:b/>
          <w:bCs/>
        </w:rPr>
        <w:t>%75–%90’ını</w:t>
      </w:r>
      <w:r w:rsidRPr="004C79A4">
        <w:rPr>
          <w:rFonts w:ascii="Times New Roman" w:hAnsi="Times New Roman" w:cs="Times New Roman"/>
        </w:rPr>
        <w:t xml:space="preserve"> karşılayacak; kalan </w:t>
      </w:r>
      <w:r w:rsidRPr="004C79A4">
        <w:rPr>
          <w:rFonts w:ascii="Times New Roman" w:hAnsi="Times New Roman" w:cs="Times New Roman"/>
          <w:b/>
          <w:bCs/>
        </w:rPr>
        <w:t>%10–%25’lik katkı</w:t>
      </w:r>
      <w:r w:rsidRPr="004C79A4">
        <w:rPr>
          <w:rFonts w:ascii="Times New Roman" w:hAnsi="Times New Roman" w:cs="Times New Roman"/>
        </w:rPr>
        <w:t xml:space="preserve"> işletme tarafından ICMPD ve Avrupa Birliği dışındaki kaynaklardan sağlanacaktır. Proje süresi </w:t>
      </w:r>
      <w:r w:rsidRPr="004C79A4">
        <w:rPr>
          <w:rFonts w:ascii="Times New Roman" w:hAnsi="Times New Roman" w:cs="Times New Roman"/>
          <w:b/>
          <w:bCs/>
        </w:rPr>
        <w:t>8–12 ay</w:t>
      </w:r>
      <w:r w:rsidRPr="004C79A4">
        <w:rPr>
          <w:rFonts w:ascii="Times New Roman" w:hAnsi="Times New Roman" w:cs="Times New Roman"/>
        </w:rPr>
        <w:t xml:space="preserve"> olmalıdır.</w:t>
      </w:r>
    </w:p>
    <w:p w14:paraId="01B94603"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Örneğin, 60.000 avroluk uygun proje bütçesinde %90 destek talep edilmesi hâlinde, hibe tutarı 54.000 avro, işletmenin katkısı 6.000 avro olacaktır. Destek kapsamına girmeyen giderler ayrıca işletme tarafından karşılanacaktır.</w:t>
      </w:r>
    </w:p>
    <w:p w14:paraId="3BBF983D" w14:textId="77777777" w:rsidR="004C79A4" w:rsidRPr="004C79A4" w:rsidRDefault="004C79A4" w:rsidP="004C79A4">
      <w:pPr>
        <w:rPr>
          <w:rFonts w:ascii="Times New Roman" w:hAnsi="Times New Roman" w:cs="Times New Roman"/>
        </w:rPr>
      </w:pPr>
      <w:r w:rsidRPr="004C79A4">
        <w:rPr>
          <w:rFonts w:ascii="Times New Roman" w:hAnsi="Times New Roman" w:cs="Times New Roman"/>
          <w:b/>
          <w:bCs/>
        </w:rPr>
        <w:t>Başvuru yapabilecek işletmeler</w:t>
      </w:r>
    </w:p>
    <w:p w14:paraId="40402A03"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 xml:space="preserve">Çağrı, KOBİ’ler içinde yalnızca </w:t>
      </w:r>
      <w:r w:rsidRPr="004C79A4">
        <w:rPr>
          <w:rFonts w:ascii="Times New Roman" w:hAnsi="Times New Roman" w:cs="Times New Roman"/>
          <w:b/>
          <w:bCs/>
        </w:rPr>
        <w:t>mikro işletmelere</w:t>
      </w:r>
      <w:r w:rsidRPr="004C79A4">
        <w:rPr>
          <w:rFonts w:ascii="Times New Roman" w:hAnsi="Times New Roman" w:cs="Times New Roman"/>
        </w:rPr>
        <w:t xml:space="preserve"> yöneliktir. Mikro işletme; yıllık çalışan sayısı 10’dan az olan, yıllık net satış hasılatı veya mali bilançosundan en az biri 10 milyon TL’yi aşmayan işletmedir. Ortak veya bağlı işletmelerin bulunması hâlinde bunların verileri de sınıflandırmada dikkate alınır.</w:t>
      </w:r>
    </w:p>
    <w:p w14:paraId="78989B5D"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Şahıs işletmeleri, esnaf, serbest meslek mensupları ve şirketler aşağıdaki şartlarla başvurabilir:</w:t>
      </w:r>
    </w:p>
    <w:p w14:paraId="118D3CAB" w14:textId="77777777" w:rsidR="004C79A4" w:rsidRPr="004C79A4" w:rsidRDefault="004C79A4" w:rsidP="004C79A4">
      <w:pPr>
        <w:numPr>
          <w:ilvl w:val="0"/>
          <w:numId w:val="1"/>
        </w:numPr>
        <w:rPr>
          <w:rFonts w:ascii="Times New Roman" w:hAnsi="Times New Roman" w:cs="Times New Roman"/>
        </w:rPr>
      </w:pPr>
      <w:r w:rsidRPr="004C79A4">
        <w:rPr>
          <w:rFonts w:ascii="Times New Roman" w:hAnsi="Times New Roman" w:cs="Times New Roman"/>
        </w:rPr>
        <w:t>Sermayesinin tamamının özel mülkiyete ait olması.</w:t>
      </w:r>
    </w:p>
    <w:p w14:paraId="725D2597" w14:textId="77777777" w:rsidR="004C79A4" w:rsidRPr="004C79A4" w:rsidRDefault="004C79A4" w:rsidP="004C79A4">
      <w:pPr>
        <w:numPr>
          <w:ilvl w:val="0"/>
          <w:numId w:val="1"/>
        </w:numPr>
        <w:rPr>
          <w:rFonts w:ascii="Times New Roman" w:hAnsi="Times New Roman" w:cs="Times New Roman"/>
        </w:rPr>
      </w:pPr>
      <w:r w:rsidRPr="004C79A4">
        <w:rPr>
          <w:rFonts w:ascii="Times New Roman" w:hAnsi="Times New Roman" w:cs="Times New Roman"/>
          <w:b/>
          <w:bCs/>
        </w:rPr>
        <w:t>31 Aralık 2024 veya öncesinde kurulmuş olması.</w:t>
      </w:r>
    </w:p>
    <w:p w14:paraId="7A77F7E8" w14:textId="77777777" w:rsidR="004C79A4" w:rsidRPr="004C79A4" w:rsidRDefault="004C79A4" w:rsidP="004C79A4">
      <w:pPr>
        <w:numPr>
          <w:ilvl w:val="0"/>
          <w:numId w:val="1"/>
        </w:numPr>
        <w:rPr>
          <w:rFonts w:ascii="Times New Roman" w:hAnsi="Times New Roman" w:cs="Times New Roman"/>
        </w:rPr>
      </w:pPr>
      <w:r w:rsidRPr="004C79A4">
        <w:rPr>
          <w:rFonts w:ascii="Times New Roman" w:hAnsi="Times New Roman" w:cs="Times New Roman"/>
          <w:b/>
          <w:bCs/>
        </w:rPr>
        <w:t>2025 yılında faaliyet kârı elde etmiş olması</w:t>
      </w:r>
      <w:r w:rsidRPr="004C79A4">
        <w:rPr>
          <w:rFonts w:ascii="Times New Roman" w:hAnsi="Times New Roman" w:cs="Times New Roman"/>
        </w:rPr>
        <w:t xml:space="preserve"> ve mali durumunu SMMM/YMM onayıyla belgelemesi.</w:t>
      </w:r>
    </w:p>
    <w:p w14:paraId="676E6867" w14:textId="77777777" w:rsidR="004C79A4" w:rsidRPr="004C79A4" w:rsidRDefault="004C79A4" w:rsidP="004C79A4">
      <w:pPr>
        <w:numPr>
          <w:ilvl w:val="0"/>
          <w:numId w:val="1"/>
        </w:numPr>
        <w:rPr>
          <w:rFonts w:ascii="Times New Roman" w:hAnsi="Times New Roman" w:cs="Times New Roman"/>
        </w:rPr>
      </w:pPr>
      <w:r w:rsidRPr="004C79A4">
        <w:rPr>
          <w:rFonts w:ascii="Times New Roman" w:hAnsi="Times New Roman" w:cs="Times New Roman"/>
        </w:rPr>
        <w:t>Vadesi geçmiş vergi veya SGK borcunun bulunmaması. Resmen yapılandırılmış borçlarda taksitlerin düzenli ödenmesi şarttır.</w:t>
      </w:r>
    </w:p>
    <w:p w14:paraId="11A831A1" w14:textId="77777777" w:rsidR="004C79A4" w:rsidRPr="004C79A4" w:rsidRDefault="004C79A4" w:rsidP="004C79A4">
      <w:pPr>
        <w:numPr>
          <w:ilvl w:val="0"/>
          <w:numId w:val="1"/>
        </w:numPr>
        <w:rPr>
          <w:rFonts w:ascii="Times New Roman" w:hAnsi="Times New Roman" w:cs="Times New Roman"/>
        </w:rPr>
      </w:pPr>
      <w:r w:rsidRPr="004C79A4">
        <w:rPr>
          <w:rFonts w:ascii="Times New Roman" w:hAnsi="Times New Roman" w:cs="Times New Roman"/>
        </w:rPr>
        <w:t>İflas, konkordato veya tasfiye sürecinde bulunmaması.</w:t>
      </w:r>
    </w:p>
    <w:p w14:paraId="7C84AAC7" w14:textId="77777777" w:rsidR="004C79A4" w:rsidRPr="004C79A4" w:rsidRDefault="004C79A4" w:rsidP="004C79A4">
      <w:pPr>
        <w:numPr>
          <w:ilvl w:val="0"/>
          <w:numId w:val="1"/>
        </w:numPr>
        <w:rPr>
          <w:rFonts w:ascii="Times New Roman" w:hAnsi="Times New Roman" w:cs="Times New Roman"/>
        </w:rPr>
      </w:pPr>
      <w:r w:rsidRPr="004C79A4">
        <w:rPr>
          <w:rFonts w:ascii="Times New Roman" w:hAnsi="Times New Roman" w:cs="Times New Roman"/>
        </w:rPr>
        <w:t>Projeyi hazırlama, yürütme ve gerekli finansmanı sağlama kapasitesine sahip olması.</w:t>
      </w:r>
    </w:p>
    <w:p w14:paraId="08988477"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 xml:space="preserve">Önceki ENHANCER Girişimcilik Hibe Programı desteğiyle kurulan işletmeler için kuruluş tarihi istisnası bulunmaktadır. Bu işletmeler, </w:t>
      </w:r>
      <w:r w:rsidRPr="004C79A4">
        <w:rPr>
          <w:rFonts w:ascii="Times New Roman" w:hAnsi="Times New Roman" w:cs="Times New Roman"/>
          <w:b/>
          <w:bCs/>
        </w:rPr>
        <w:t>1 Ağustos 2025’ten önce kurulmuş olmaları</w:t>
      </w:r>
      <w:r w:rsidRPr="004C79A4">
        <w:rPr>
          <w:rFonts w:ascii="Times New Roman" w:hAnsi="Times New Roman" w:cs="Times New Roman"/>
        </w:rPr>
        <w:t xml:space="preserve"> ve gerekli mali belgeleri sunmaları koşuluyla başvurabilir. Bu kapsamda 2025 yılında kurulan işletmelerde pozitif öz kaynak aranır. Önceki program desteğiyle kurulan ve şartları sağlayan işletmelere değerlendirmede 5 puan avantajı verilir.</w:t>
      </w:r>
    </w:p>
    <w:p w14:paraId="5E1E798F"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 xml:space="preserve">Program; </w:t>
      </w:r>
      <w:r w:rsidRPr="004C79A4">
        <w:rPr>
          <w:rFonts w:ascii="Times New Roman" w:hAnsi="Times New Roman" w:cs="Times New Roman"/>
          <w:b/>
          <w:bCs/>
        </w:rPr>
        <w:t>Şanlıurfa</w:t>
      </w:r>
      <w:r w:rsidRPr="004C79A4">
        <w:rPr>
          <w:rFonts w:ascii="Times New Roman" w:hAnsi="Times New Roman" w:cs="Times New Roman"/>
        </w:rPr>
        <w:t xml:space="preserve">, Adana, Adıyaman, Ankara, Bursa, </w:t>
      </w:r>
      <w:proofErr w:type="gramStart"/>
      <w:r w:rsidRPr="004C79A4">
        <w:rPr>
          <w:rFonts w:ascii="Times New Roman" w:hAnsi="Times New Roman" w:cs="Times New Roman"/>
        </w:rPr>
        <w:t>Elazığ</w:t>
      </w:r>
      <w:proofErr w:type="gramEnd"/>
      <w:r w:rsidRPr="004C79A4">
        <w:rPr>
          <w:rFonts w:ascii="Times New Roman" w:hAnsi="Times New Roman" w:cs="Times New Roman"/>
        </w:rPr>
        <w:t xml:space="preserve">, Gaziantep, Hatay, İstanbul, İzmir, Kahramanmaraş, Kayseri, Kilis, Kocaeli, Konya, Malatya, Mersin ve Osmaniye’yi </w:t>
      </w:r>
      <w:r w:rsidRPr="004C79A4">
        <w:rPr>
          <w:rFonts w:ascii="Times New Roman" w:hAnsi="Times New Roman" w:cs="Times New Roman"/>
        </w:rPr>
        <w:lastRenderedPageBreak/>
        <w:t>kapsamaktadır. İşletmenin bu illerden birinde kayıtlı olması ve faaliyetlerin uygun illerde yürütülmesi gerekir.</w:t>
      </w:r>
    </w:p>
    <w:p w14:paraId="522A42DB" w14:textId="77777777" w:rsidR="004C79A4" w:rsidRPr="004C79A4" w:rsidRDefault="004C79A4" w:rsidP="004C79A4">
      <w:pPr>
        <w:rPr>
          <w:rFonts w:ascii="Times New Roman" w:hAnsi="Times New Roman" w:cs="Times New Roman"/>
        </w:rPr>
      </w:pPr>
      <w:r w:rsidRPr="004C79A4">
        <w:rPr>
          <w:rFonts w:ascii="Times New Roman" w:hAnsi="Times New Roman" w:cs="Times New Roman"/>
          <w:b/>
          <w:bCs/>
        </w:rPr>
        <w:t>Şanlıurfa için ciro şartı</w:t>
      </w:r>
    </w:p>
    <w:p w14:paraId="3A53B894"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 xml:space="preserve">Şanlıurfa’da talep edilen hibe, işletmenin </w:t>
      </w:r>
      <w:r w:rsidRPr="004C79A4">
        <w:rPr>
          <w:rFonts w:ascii="Times New Roman" w:hAnsi="Times New Roman" w:cs="Times New Roman"/>
          <w:b/>
          <w:bCs/>
        </w:rPr>
        <w:t>2025 yılı cirosunun; gerçek kişilerde brüt gelirinin, %75’ini aşamaz.</w:t>
      </w:r>
      <w:r w:rsidRPr="004C79A4">
        <w:rPr>
          <w:rFonts w:ascii="Times New Roman" w:hAnsi="Times New Roman" w:cs="Times New Roman"/>
        </w:rPr>
        <w:t xml:space="preserve"> Rehberde belirlenen 1 avro = 49,17 TL hesaplama kuruna göre: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4"/>
        <w:gridCol w:w="4386"/>
      </w:tblGrid>
      <w:tr w:rsidR="004C79A4" w:rsidRPr="004C79A4" w14:paraId="3A695A80" w14:textId="77777777">
        <w:trPr>
          <w:tblHeader/>
          <w:tblCellSpacing w:w="15" w:type="dxa"/>
        </w:trPr>
        <w:tc>
          <w:tcPr>
            <w:tcW w:w="0" w:type="auto"/>
            <w:vAlign w:val="center"/>
            <w:hideMark/>
          </w:tcPr>
          <w:p w14:paraId="38DCEA9F" w14:textId="77777777" w:rsidR="004C79A4" w:rsidRPr="004C79A4" w:rsidRDefault="004C79A4" w:rsidP="004C79A4">
            <w:pPr>
              <w:rPr>
                <w:rFonts w:ascii="Times New Roman" w:hAnsi="Times New Roman" w:cs="Times New Roman"/>
                <w:b/>
                <w:bCs/>
              </w:rPr>
            </w:pPr>
            <w:r w:rsidRPr="004C79A4">
              <w:rPr>
                <w:rFonts w:ascii="Times New Roman" w:hAnsi="Times New Roman" w:cs="Times New Roman"/>
                <w:b/>
                <w:bCs/>
              </w:rPr>
              <w:t>Talep edilen hibe</w:t>
            </w:r>
          </w:p>
        </w:tc>
        <w:tc>
          <w:tcPr>
            <w:tcW w:w="0" w:type="auto"/>
            <w:vAlign w:val="center"/>
            <w:hideMark/>
          </w:tcPr>
          <w:p w14:paraId="0E219BF9" w14:textId="77777777" w:rsidR="004C79A4" w:rsidRPr="004C79A4" w:rsidRDefault="004C79A4" w:rsidP="004C79A4">
            <w:pPr>
              <w:rPr>
                <w:rFonts w:ascii="Times New Roman" w:hAnsi="Times New Roman" w:cs="Times New Roman"/>
                <w:b/>
                <w:bCs/>
              </w:rPr>
            </w:pPr>
            <w:r w:rsidRPr="004C79A4">
              <w:rPr>
                <w:rFonts w:ascii="Times New Roman" w:hAnsi="Times New Roman" w:cs="Times New Roman"/>
                <w:b/>
                <w:bCs/>
              </w:rPr>
              <w:t>Gerekli asgari 2025 cirosu veya brüt geliri</w:t>
            </w:r>
          </w:p>
        </w:tc>
      </w:tr>
      <w:tr w:rsidR="004C79A4" w:rsidRPr="004C79A4" w14:paraId="1F1F36E6" w14:textId="77777777">
        <w:trPr>
          <w:tblCellSpacing w:w="15" w:type="dxa"/>
        </w:trPr>
        <w:tc>
          <w:tcPr>
            <w:tcW w:w="0" w:type="auto"/>
            <w:vAlign w:val="center"/>
            <w:hideMark/>
          </w:tcPr>
          <w:p w14:paraId="76C1BF6E"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40.000 avro</w:t>
            </w:r>
          </w:p>
        </w:tc>
        <w:tc>
          <w:tcPr>
            <w:tcW w:w="0" w:type="auto"/>
            <w:vAlign w:val="center"/>
            <w:hideMark/>
          </w:tcPr>
          <w:p w14:paraId="01D9E47D"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2.622.400 TL</w:t>
            </w:r>
          </w:p>
        </w:tc>
      </w:tr>
      <w:tr w:rsidR="004C79A4" w:rsidRPr="004C79A4" w14:paraId="16E439E4" w14:textId="77777777">
        <w:trPr>
          <w:tblCellSpacing w:w="15" w:type="dxa"/>
        </w:trPr>
        <w:tc>
          <w:tcPr>
            <w:tcW w:w="0" w:type="auto"/>
            <w:vAlign w:val="center"/>
            <w:hideMark/>
          </w:tcPr>
          <w:p w14:paraId="0B89E4D6"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60.000 avro</w:t>
            </w:r>
          </w:p>
        </w:tc>
        <w:tc>
          <w:tcPr>
            <w:tcW w:w="0" w:type="auto"/>
            <w:vAlign w:val="center"/>
            <w:hideMark/>
          </w:tcPr>
          <w:p w14:paraId="441C909A"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3.933.600 TL</w:t>
            </w:r>
          </w:p>
        </w:tc>
      </w:tr>
    </w:tbl>
    <w:p w14:paraId="4C8DA06A"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 xml:space="preserve">Aynı kolaylık Adıyaman, </w:t>
      </w:r>
      <w:proofErr w:type="gramStart"/>
      <w:r w:rsidRPr="004C79A4">
        <w:rPr>
          <w:rFonts w:ascii="Times New Roman" w:hAnsi="Times New Roman" w:cs="Times New Roman"/>
        </w:rPr>
        <w:t>Elazığ</w:t>
      </w:r>
      <w:proofErr w:type="gramEnd"/>
      <w:r w:rsidRPr="004C79A4">
        <w:rPr>
          <w:rFonts w:ascii="Times New Roman" w:hAnsi="Times New Roman" w:cs="Times New Roman"/>
        </w:rPr>
        <w:t>, Hatay, Kahramanmaraş, Kilis, Malatya ve Osmaniye için de geçerlidir. Diğer uygun illerde hibe talebi, ciro veya brüt gelirin %50’sini aşamaz.</w:t>
      </w:r>
    </w:p>
    <w:p w14:paraId="704FF260" w14:textId="77777777" w:rsidR="004C79A4" w:rsidRPr="004C79A4" w:rsidRDefault="004C79A4" w:rsidP="004C79A4">
      <w:pPr>
        <w:rPr>
          <w:rFonts w:ascii="Times New Roman" w:hAnsi="Times New Roman" w:cs="Times New Roman"/>
        </w:rPr>
      </w:pPr>
      <w:r w:rsidRPr="004C79A4">
        <w:rPr>
          <w:rFonts w:ascii="Times New Roman" w:hAnsi="Times New Roman" w:cs="Times New Roman"/>
          <w:b/>
          <w:bCs/>
        </w:rPr>
        <w:t>İstihdam ve bütçe koşulları</w:t>
      </w:r>
    </w:p>
    <w:p w14:paraId="46122DFB"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 xml:space="preserve">Her projenin </w:t>
      </w:r>
      <w:r w:rsidRPr="004C79A4">
        <w:rPr>
          <w:rFonts w:ascii="Times New Roman" w:hAnsi="Times New Roman" w:cs="Times New Roman"/>
          <w:b/>
          <w:bCs/>
        </w:rPr>
        <w:t>2–5 yeni istihdam oluşturması</w:t>
      </w:r>
      <w:r w:rsidRPr="004C79A4">
        <w:rPr>
          <w:rFonts w:ascii="Times New Roman" w:hAnsi="Times New Roman" w:cs="Times New Roman"/>
        </w:rPr>
        <w:t xml:space="preserve"> beklenmektedir. Yeni istihdam yaratmayan projeler reddedilecektir. İstihdam planında, yeni çalışanların </w:t>
      </w:r>
      <w:r w:rsidRPr="004C79A4">
        <w:rPr>
          <w:rFonts w:ascii="Times New Roman" w:hAnsi="Times New Roman" w:cs="Times New Roman"/>
          <w:b/>
          <w:bCs/>
        </w:rPr>
        <w:t>en az yarısının geçici koruma altındaki Suriyelilerden veya uluslararası koruma altındaki kişilerden oluşması hedefi</w:t>
      </w:r>
      <w:r w:rsidRPr="004C79A4">
        <w:rPr>
          <w:rFonts w:ascii="Times New Roman" w:hAnsi="Times New Roman" w:cs="Times New Roman"/>
        </w:rPr>
        <w:t xml:space="preserve"> dikkate alınmalıdır. Kadın istihdamı değerlendirmede olumlu karşılanacaktır.</w:t>
      </w:r>
    </w:p>
    <w:p w14:paraId="427ADF9C" w14:textId="77777777" w:rsidR="004C79A4" w:rsidRPr="004C79A4" w:rsidRDefault="004C79A4" w:rsidP="004C79A4">
      <w:pPr>
        <w:rPr>
          <w:rFonts w:ascii="Times New Roman" w:hAnsi="Times New Roman" w:cs="Times New Roman"/>
        </w:rPr>
      </w:pPr>
      <w:r w:rsidRPr="004C79A4">
        <w:rPr>
          <w:rFonts w:ascii="Times New Roman" w:hAnsi="Times New Roman" w:cs="Times New Roman"/>
          <w:b/>
          <w:bCs/>
        </w:rPr>
        <w:t>İnsan kaynakları giderleri, toplam uygun doğrudan giderlerin en az %40’ını oluşturmalıdır.</w:t>
      </w:r>
      <w:r w:rsidRPr="004C79A4">
        <w:rPr>
          <w:rFonts w:ascii="Times New Roman" w:hAnsi="Times New Roman" w:cs="Times New Roman"/>
        </w:rPr>
        <w:t xml:space="preserve"> Bu nedenle yalnızca makine alımına yönelik başvuru yeterli değildir. Dolaylı giderler ise uygun doğrudan giderlerin en fazla %4’ü oranında bütçelenebilir.</w:t>
      </w:r>
    </w:p>
    <w:p w14:paraId="7EE12CF3" w14:textId="77777777" w:rsidR="004C79A4" w:rsidRPr="004C79A4" w:rsidRDefault="004C79A4" w:rsidP="004C79A4">
      <w:pPr>
        <w:rPr>
          <w:rFonts w:ascii="Times New Roman" w:hAnsi="Times New Roman" w:cs="Times New Roman"/>
        </w:rPr>
      </w:pPr>
      <w:r w:rsidRPr="004C79A4">
        <w:rPr>
          <w:rFonts w:ascii="Times New Roman" w:hAnsi="Times New Roman" w:cs="Times New Roman"/>
          <w:b/>
          <w:bCs/>
        </w:rPr>
        <w:t>Desteklenen ve desteklenmeyen giderler</w:t>
      </w:r>
    </w:p>
    <w:p w14:paraId="1F8658D8"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 xml:space="preserve">Yeni makine, ekipman ve sarf malzemeleri; uygun personel ve işveren </w:t>
      </w:r>
      <w:proofErr w:type="gramStart"/>
      <w:r w:rsidRPr="004C79A4">
        <w:rPr>
          <w:rFonts w:ascii="Times New Roman" w:hAnsi="Times New Roman" w:cs="Times New Roman"/>
        </w:rPr>
        <w:t>maliyetleri;</w:t>
      </w:r>
      <w:proofErr w:type="gramEnd"/>
      <w:r w:rsidRPr="004C79A4">
        <w:rPr>
          <w:rFonts w:ascii="Times New Roman" w:hAnsi="Times New Roman" w:cs="Times New Roman"/>
        </w:rPr>
        <w:t xml:space="preserve"> çalışma izni </w:t>
      </w:r>
      <w:proofErr w:type="gramStart"/>
      <w:r w:rsidRPr="004C79A4">
        <w:rPr>
          <w:rFonts w:ascii="Times New Roman" w:hAnsi="Times New Roman" w:cs="Times New Roman"/>
        </w:rPr>
        <w:t>giderleri;</w:t>
      </w:r>
      <w:proofErr w:type="gramEnd"/>
      <w:r w:rsidRPr="004C79A4">
        <w:rPr>
          <w:rFonts w:ascii="Times New Roman" w:hAnsi="Times New Roman" w:cs="Times New Roman"/>
        </w:rPr>
        <w:t xml:space="preserve"> hizmet alımları, pazarlama ve işle ilgili beceri eğitimleri desteklenebilir.</w:t>
      </w:r>
    </w:p>
    <w:p w14:paraId="000B25F9" w14:textId="77777777" w:rsidR="004C79A4" w:rsidRPr="004C79A4" w:rsidRDefault="004C79A4" w:rsidP="004C79A4">
      <w:pPr>
        <w:rPr>
          <w:rFonts w:ascii="Times New Roman" w:hAnsi="Times New Roman" w:cs="Times New Roman"/>
        </w:rPr>
      </w:pPr>
      <w:r w:rsidRPr="004C79A4">
        <w:rPr>
          <w:rFonts w:ascii="Times New Roman" w:hAnsi="Times New Roman" w:cs="Times New Roman"/>
          <w:b/>
          <w:bCs/>
        </w:rPr>
        <w:t>KDV ve rehberde belirtilen diğer vergiler, ikinci el makine, leasing, arazi ve bina alımı veya kirası, ofis kirası, seyahat ve harcırah, borç ve faiz, kur farkı, personel primleri, amortisman ve ayni katkılar desteklenmez.</w:t>
      </w:r>
      <w:r w:rsidRPr="004C79A4">
        <w:rPr>
          <w:rFonts w:ascii="Times New Roman" w:hAnsi="Times New Roman" w:cs="Times New Roman"/>
        </w:rPr>
        <w:t xml:space="preserve"> İnşaat ve yenileme giderleri de kapsam dışındadır; gerekli makine veya ekipmanın kurulumu için küçük tadilatlar istisnadır.</w:t>
      </w:r>
    </w:p>
    <w:p w14:paraId="46BC6A38"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Elektrik ve doğal gaz üretimi/dağıtımı, çelik ve kömür, silah ve mühimmat, tütün, pestisit ve herbisit, alkollü içecekler, kumar, finansal hizmetler, döviz ve menkul kıymet yatırımları ile gayrimenkul yatırımları uygun değildir. Sağlığa ve çevreye zararlı faaliyetler de desteklenmez.</w:t>
      </w:r>
    </w:p>
    <w:p w14:paraId="4543B8FE" w14:textId="77777777" w:rsidR="004C79A4" w:rsidRPr="004C79A4" w:rsidRDefault="004C79A4" w:rsidP="004C79A4">
      <w:pPr>
        <w:rPr>
          <w:rFonts w:ascii="Times New Roman" w:hAnsi="Times New Roman" w:cs="Times New Roman"/>
        </w:rPr>
      </w:pPr>
      <w:r w:rsidRPr="004C79A4">
        <w:rPr>
          <w:rFonts w:ascii="Times New Roman" w:hAnsi="Times New Roman" w:cs="Times New Roman"/>
          <w:b/>
          <w:bCs/>
        </w:rPr>
        <w:t>Başvuru süreci</w:t>
      </w:r>
    </w:p>
    <w:p w14:paraId="521CB6CC" w14:textId="77777777" w:rsidR="004C79A4" w:rsidRPr="004C79A4" w:rsidRDefault="004C79A4" w:rsidP="004C79A4">
      <w:pPr>
        <w:rPr>
          <w:rFonts w:ascii="Times New Roman" w:hAnsi="Times New Roman" w:cs="Times New Roman"/>
        </w:rPr>
      </w:pPr>
      <w:r w:rsidRPr="004C79A4">
        <w:rPr>
          <w:rFonts w:ascii="Times New Roman" w:hAnsi="Times New Roman" w:cs="Times New Roman"/>
          <w:b/>
          <w:bCs/>
        </w:rPr>
        <w:t>Son başvuru tarihi 22 Aralık 2026, saat 19.00’dur — Türkiye saati.</w:t>
      </w:r>
    </w:p>
    <w:p w14:paraId="329D97BD"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 xml:space="preserve">Başvurular yalnızca </w:t>
      </w:r>
      <w:r w:rsidRPr="004C79A4">
        <w:rPr>
          <w:rFonts w:ascii="Times New Roman" w:hAnsi="Times New Roman" w:cs="Times New Roman"/>
          <w:b/>
          <w:bCs/>
        </w:rPr>
        <w:t>ICMPD IN-TEND elektronik başvuru sistemi üzerinden ve İngilizce</w:t>
      </w:r>
      <w:r w:rsidRPr="004C79A4">
        <w:rPr>
          <w:rFonts w:ascii="Times New Roman" w:hAnsi="Times New Roman" w:cs="Times New Roman"/>
        </w:rPr>
        <w:t xml:space="preserve"> yapılacaktır. Kamu kurumlarından alınan resmî belgeler Türkçe sunulabilir. İşletme başına bir başvuru yapılabilir; eş başvuru sahibi kabul edilmez.</w:t>
      </w:r>
    </w:p>
    <w:p w14:paraId="62D2E927"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lastRenderedPageBreak/>
        <w:t>Başvuru formu, bütçe, tüzel kişilik formu ve doğruluk beyanının yanında; Findeks raporu, mikro işletme belgesi, önceki aya ait SGK çalışan listesi, imza ve yetki belgeleri, tapu veya kira sözleşmesi, vergi/SGK durum belgeleri ile işletmenin türüne göre mali tablolar, beyannameler, oda ve sicil belgeleri hazırlanmalıdır. Gerekli hâllerde ruhsat, izin ve ortak/bağlı işletme belgeleri de sunulmalıdır. Belgeler, sistemdeki kontrol listesi ve dosya biçimlerine uygun olarak eksiksiz yüklenmelidir.</w:t>
      </w:r>
    </w:p>
    <w:p w14:paraId="50475F8C"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 xml:space="preserve">Şartların sağlanması hibe alınacağını garanti etmez. Başvurular mali kapasite, proje kalitesi, istihdam, sürdürülebilirlik ve bütçe yönünden değerlendirilir. </w:t>
      </w:r>
      <w:r w:rsidRPr="004C79A4">
        <w:rPr>
          <w:rFonts w:ascii="Times New Roman" w:hAnsi="Times New Roman" w:cs="Times New Roman"/>
          <w:b/>
          <w:bCs/>
        </w:rPr>
        <w:t>65 puanın altındaki başvurular reddedilir.</w:t>
      </w:r>
      <w:r w:rsidRPr="004C79A4">
        <w:rPr>
          <w:rFonts w:ascii="Times New Roman" w:hAnsi="Times New Roman" w:cs="Times New Roman"/>
        </w:rPr>
        <w:t xml:space="preserve"> Mali ve operasyonel kapasite alt kriterlerinin herhangi birinden 3’ün altında puan alınması da ret nedenidir.</w:t>
      </w:r>
    </w:p>
    <w:p w14:paraId="5D296AA7" w14:textId="77777777" w:rsidR="004C79A4" w:rsidRPr="004C79A4" w:rsidRDefault="004C79A4" w:rsidP="004C79A4">
      <w:pPr>
        <w:rPr>
          <w:rFonts w:ascii="Times New Roman" w:hAnsi="Times New Roman" w:cs="Times New Roman"/>
        </w:rPr>
      </w:pPr>
      <w:r w:rsidRPr="004C79A4">
        <w:rPr>
          <w:rFonts w:ascii="Times New Roman" w:hAnsi="Times New Roman" w:cs="Times New Roman"/>
        </w:rPr>
        <w:t>Harcamaların proje dönemi, satın alma ve belgelendirme kurallarına uygun yürütülmesi gerekir. Sözleşme öncesinde başlatılan veya başka fonlardan desteklenen aynı faaliyetler uygun değildir. Sonuçların 2027’nin ikinci, sözleşmelerin üçüncü çeyreğinde tamamlanması öngörülmektedir.</w:t>
      </w:r>
    </w:p>
    <w:p w14:paraId="55C834BD" w14:textId="49F8BC04" w:rsidR="00C76A62" w:rsidRPr="004C79A4" w:rsidRDefault="00797199" w:rsidP="00797199">
      <w:pPr>
        <w:jc w:val="both"/>
        <w:rPr>
          <w:rFonts w:ascii="Times New Roman" w:hAnsi="Times New Roman" w:cs="Times New Roman"/>
        </w:rPr>
      </w:pPr>
      <w:r>
        <w:rPr>
          <w:rFonts w:ascii="Times New Roman" w:hAnsi="Times New Roman" w:cs="Times New Roman"/>
          <w:noProof/>
        </w:rPr>
        <w:lastRenderedPageBreak/>
        <w:drawing>
          <wp:inline distT="0" distB="0" distL="0" distR="0" wp14:anchorId="453101BA" wp14:editId="048177DE">
            <wp:extent cx="6660000" cy="8325000"/>
            <wp:effectExtent l="0" t="0" r="7620" b="0"/>
            <wp:docPr id="46478891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0000" cy="8325000"/>
                    </a:xfrm>
                    <a:prstGeom prst="rect">
                      <a:avLst/>
                    </a:prstGeom>
                    <a:noFill/>
                    <a:ln>
                      <a:noFill/>
                    </a:ln>
                  </pic:spPr>
                </pic:pic>
              </a:graphicData>
            </a:graphic>
          </wp:inline>
        </w:drawing>
      </w:r>
    </w:p>
    <w:sectPr w:rsidR="00C76A62" w:rsidRPr="004C79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0159F7"/>
    <w:multiLevelType w:val="multilevel"/>
    <w:tmpl w:val="3D30A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725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9A4"/>
    <w:rsid w:val="004C79A4"/>
    <w:rsid w:val="005551DC"/>
    <w:rsid w:val="00797199"/>
    <w:rsid w:val="00845DB5"/>
    <w:rsid w:val="008474F5"/>
    <w:rsid w:val="00C76A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A676C"/>
  <w15:chartTrackingRefBased/>
  <w15:docId w15:val="{35C37009-6BC0-4600-B999-08CE10263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C79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C79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C79A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C79A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C79A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C79A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C79A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C79A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C79A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C79A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C79A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C79A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C79A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C79A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C79A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C79A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C79A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C79A4"/>
    <w:rPr>
      <w:rFonts w:eastAsiaTheme="majorEastAsia" w:cstheme="majorBidi"/>
      <w:color w:val="272727" w:themeColor="text1" w:themeTint="D8"/>
    </w:rPr>
  </w:style>
  <w:style w:type="paragraph" w:styleId="KonuBal">
    <w:name w:val="Title"/>
    <w:basedOn w:val="Normal"/>
    <w:next w:val="Normal"/>
    <w:link w:val="KonuBalChar"/>
    <w:uiPriority w:val="10"/>
    <w:qFormat/>
    <w:rsid w:val="004C79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C79A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C79A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C79A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C79A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C79A4"/>
    <w:rPr>
      <w:i/>
      <w:iCs/>
      <w:color w:val="404040" w:themeColor="text1" w:themeTint="BF"/>
    </w:rPr>
  </w:style>
  <w:style w:type="paragraph" w:styleId="ListeParagraf">
    <w:name w:val="List Paragraph"/>
    <w:basedOn w:val="Normal"/>
    <w:uiPriority w:val="34"/>
    <w:qFormat/>
    <w:rsid w:val="004C79A4"/>
    <w:pPr>
      <w:ind w:left="720"/>
      <w:contextualSpacing/>
    </w:pPr>
  </w:style>
  <w:style w:type="character" w:styleId="GlVurgulama">
    <w:name w:val="Intense Emphasis"/>
    <w:basedOn w:val="VarsaylanParagrafYazTipi"/>
    <w:uiPriority w:val="21"/>
    <w:qFormat/>
    <w:rsid w:val="004C79A4"/>
    <w:rPr>
      <w:i/>
      <w:iCs/>
      <w:color w:val="0F4761" w:themeColor="accent1" w:themeShade="BF"/>
    </w:rPr>
  </w:style>
  <w:style w:type="paragraph" w:styleId="GlAlnt">
    <w:name w:val="Intense Quote"/>
    <w:basedOn w:val="Normal"/>
    <w:next w:val="Normal"/>
    <w:link w:val="GlAlntChar"/>
    <w:uiPriority w:val="30"/>
    <w:qFormat/>
    <w:rsid w:val="004C79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C79A4"/>
    <w:rPr>
      <w:i/>
      <w:iCs/>
      <w:color w:val="0F4761" w:themeColor="accent1" w:themeShade="BF"/>
    </w:rPr>
  </w:style>
  <w:style w:type="character" w:styleId="GlBavuru">
    <w:name w:val="Intense Reference"/>
    <w:basedOn w:val="VarsaylanParagrafYazTipi"/>
    <w:uiPriority w:val="32"/>
    <w:qFormat/>
    <w:rsid w:val="004C79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868</Words>
  <Characters>4949</Characters>
  <Application>Microsoft Office Word</Application>
  <DocSecurity>0</DocSecurity>
  <Lines>41</Lines>
  <Paragraphs>11</Paragraphs>
  <ScaleCrop>false</ScaleCrop>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PELİN KOLSUZ</dc:creator>
  <cp:keywords/>
  <dc:description/>
  <cp:lastModifiedBy>Sutso Sutso</cp:lastModifiedBy>
  <cp:revision>2</cp:revision>
  <dcterms:created xsi:type="dcterms:W3CDTF">2026-10-26T07:54:00Z</dcterms:created>
  <dcterms:modified xsi:type="dcterms:W3CDTF">2026-10-26T07:54:00Z</dcterms:modified>
</cp:coreProperties>
</file>